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D1" w:rsidRDefault="006061D1" w:rsidP="006061D1">
      <w:pPr>
        <w:shd w:val="clear" w:color="auto" w:fill="FFFFFF"/>
        <w:spacing w:after="150" w:line="336" w:lineRule="atLeast"/>
        <w:ind w:hanging="851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1"/>
          <w:lang w:eastAsia="ru-RU"/>
        </w:rPr>
        <w:drawing>
          <wp:inline distT="0" distB="0" distL="0" distR="0">
            <wp:extent cx="7562850" cy="9598820"/>
            <wp:effectExtent l="19050" t="0" r="0" b="0"/>
            <wp:docPr id="1" name="Рисунок 1" descr="C:\Users\Заира\Pictures\2019-06-27 7\7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Pictures\2019-06-27 7\7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5" cy="959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B0" w:rsidRPr="00906C62" w:rsidRDefault="00BE7EB0" w:rsidP="00BE7EB0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lastRenderedPageBreak/>
        <w:t>обновление содержания и совершенствование методов обучения предметных областей «Технология», «Математика и информатика», «Физическая культура и основы безопасности жизнедеятельности».</w:t>
      </w:r>
    </w:p>
    <w:p w:rsidR="00BE7EB0" w:rsidRPr="00906C62" w:rsidRDefault="00BE7EB0" w:rsidP="00BE7EB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Задачами Центров 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 и 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</w:p>
    <w:p w:rsidR="00BE7EB0" w:rsidRPr="00906C62" w:rsidRDefault="00BE7EB0" w:rsidP="00BE7EB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bdr w:val="none" w:sz="0" w:space="0" w:color="auto" w:frame="1"/>
          <w:lang w:eastAsia="ru-RU"/>
        </w:rPr>
        <w:t>Функции Центра: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Внедрение сетевых форм реализации программ дополнительного образования.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Содействие развитию шахматного образования.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Вовлечение обучающихся и педагогов в проектную деятельность.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Информационное 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BE7EB0" w:rsidRPr="00906C62" w:rsidRDefault="00BE7EB0" w:rsidP="00BE7EB0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BE7EB0" w:rsidRPr="00906C62" w:rsidRDefault="00BE7EB0" w:rsidP="00BE7EB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 центре «Точки роста» будет осуществляться  единый подход к общеообразовательным программам, составленным в соответствии с новыми предметными областями Технология, Информатика, ОБЖ.</w:t>
      </w:r>
    </w:p>
    <w:p w:rsidR="00BE7EB0" w:rsidRPr="00906C62" w:rsidRDefault="00BE7EB0" w:rsidP="00BE7EB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Изменяется содержательная сторона предметной области «Технология», в которую будут введены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</w:t>
      </w:r>
    </w:p>
    <w:p w:rsidR="00BE7EB0" w:rsidRPr="00906C62" w:rsidRDefault="00BE7EB0" w:rsidP="00BE7EB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906C62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 </w:t>
      </w:r>
    </w:p>
    <w:p w:rsidR="008A6AB4" w:rsidRPr="00906C62" w:rsidRDefault="008A6AB4">
      <w:pPr>
        <w:rPr>
          <w:rFonts w:ascii="Times New Roman" w:hAnsi="Times New Roman" w:cs="Times New Roman"/>
          <w:sz w:val="28"/>
        </w:rPr>
      </w:pPr>
    </w:p>
    <w:sectPr w:rsidR="008A6AB4" w:rsidRPr="00906C62" w:rsidSect="00906C6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8ED"/>
    <w:multiLevelType w:val="multilevel"/>
    <w:tmpl w:val="F08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64FA7"/>
    <w:multiLevelType w:val="multilevel"/>
    <w:tmpl w:val="EDDC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E7EB0"/>
    <w:rsid w:val="00035B61"/>
    <w:rsid w:val="000D2EDA"/>
    <w:rsid w:val="003E5F2A"/>
    <w:rsid w:val="006061D1"/>
    <w:rsid w:val="008A6AB4"/>
    <w:rsid w:val="00906C62"/>
    <w:rsid w:val="00BE7EB0"/>
    <w:rsid w:val="00ED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696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55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821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Заира</cp:lastModifiedBy>
  <cp:revision>6</cp:revision>
  <cp:lastPrinted>2019-06-25T16:16:00Z</cp:lastPrinted>
  <dcterms:created xsi:type="dcterms:W3CDTF">2019-06-24T10:35:00Z</dcterms:created>
  <dcterms:modified xsi:type="dcterms:W3CDTF">2019-06-27T06:59:00Z</dcterms:modified>
</cp:coreProperties>
</file>